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65</w:t>
      </w:r>
    </w:p>
    <w:p>
      <w:r>
        <w:t>Bundesgericht (BGE), 2006-02-08, FR</w:t>
      </w:r>
    </w:p>
    <w:p>
      <w:r>
        <w:rPr>
          <w:b/>
        </w:rPr>
        <w:t xml:space="preserve">Quelle: </w:t>
      </w:r>
      <w:r>
        <w:t>https://mcp.opencaselaw.ch/entscheid/bge_132 V 65</w:t>
      </w:r>
    </w:p>
    <w:p>
      <w:r>
        <w:t>FR: ATF 132 V 65</w:t>
      </w:r>
    </w:p>
    <w:p>
      <w:r>
        <w:t>IT: DTF 132 V 65</w:t>
      </w:r>
    </w:p>
    <w:p>
      <w:pPr>
        <w:pStyle w:val="Heading2"/>
      </w:pPr>
      <w:r>
        <w:t>Regeste</w:t>
      </w:r>
    </w:p>
    <w:p>
      <w:r>
        <w:t>Regeste Art. 4 und 28 IVG (in der bis 31. Dezember 2002 gültig gewesenen Fassung): Diagnose "Fibromyalgie"; Ermittlung der Invalidität. Weder für die Verwaltung noch für das Gericht besteht ein Anlass, die Diagnose "Fibromyalgie" in Frage zu stellen, auch wenn diese in der Ärzteschaft umstritten ist. (Erw. 3) Die Fibromyalgie weist zahlreiche mit den somatoformen Schmerzstörungen gemeinsame Aspekte auf, sodass es sich beim aktuellen Kenntnisstand aus juristischer Sicht rechtfertigt, die von der Rechtsprechung im Bereich der somatoformen Schmerzstörungen entwickelten Grundsätze bei der Würdigung des invalidisierenden Charakters einer Fibromyalgie analog anzuwenden. (Erw. 4)</w:t>
      </w:r>
    </w:p>
    <w:p>
      <w:pPr>
        <w:pStyle w:val="Heading2"/>
      </w:pPr>
      <w:r>
        <w:t>Erwägungen</w:t>
      </w:r>
    </w:p>
    <w:p>
      <w:r>
        <w:rPr>
          <w:b/>
        </w:rPr>
        <w:t>E. 3.1</w:t>
      </w:r>
    </w:p>
    <w:p>
      <w:r>
        <w:t>Des rapports médicaux versés au dossier, il ressort que S. souffre principalement de douleurs (sont notamment concernées chez elle les régions de la nuque, du dos et des membres supérieurs), d'une asthénie importante, de troubles du sommeil et de l'humeur. Les investigations pratiquées n'ont révélé aucune atteinte somatique pouvant expliquer son état (en particulier, le status neurologique a été qualifié de normal, de même que les résultats des tests sanguins). Ces symptômes douloureux sans substrat clairement objectivable ont amené tant la doctoresse P. que les médecins du SMR à poser le diagnostic de "fibromyalgie". Pourtant, à la lecture de leurs considérations médicales, on peut constater que la même symptomatologie est parfois aussi assimilée à un "trouble somatoforme douloureux". Ainsi, la rhumatologue a-t-elle mentionné, dans BGE 132 V 65 S. 68 un rapport du 30 janvier 2004 établi à l'intention de la juridiction cantonale, que "S. souffre effectivement d'un trouble somatoforme douloureux diffus et chronique [...]". Les médecins du SMR l'ont également évoqué dans leurs conclusions (p. 6 de leur rapport). On peut dès lors se demander si le diagnostic de "fibromyalgie" peut ou doit être traité de manière analogue au "trouble somatoforme douloureux", qui entre dans la catégorie des atteintes à la santé d'ordre psychique (cf. ATF 130 V 353 consid. 2.2.2).</w:t>
      </w:r>
    </w:p>
    <w:p>
      <w:r>
        <w:rPr>
          <w:b/>
        </w:rPr>
        <w:t>E. 3.2</w:t>
      </w:r>
    </w:p>
    <w:p>
      <w:r>
        <w:t>La "fibromyalgie" est une affection rhumatismale reconnue par l'Organisation mondiale de la santé [OMS]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(PIERRE-ALAIN BUCHARD, Peut-on encore poser le diagnostic de fibromyalgie ?, in : Revue médicale de la Suisse romande, 2001, p. 444). Il existe deux formes de fibromyalgie [voir Pschyrembel, Klinisches Wörterbuch, éd. Walter de Gruyter, 2004; aussi, Springer Lexikon Medizin, éd. 2004].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w:t>
      </w:r>
    </w:p>
    <w:p>
      <w:r>
        <w:rPr>
          <w:b/>
        </w:rPr>
        <w:t>E. 3.3</w:t>
      </w:r>
    </w:p>
    <w:p>
      <w:r>
        <w:t>Depuis plusieurs années, le diagnostic de "fibromyalgie" fait l'objet d'une controverse dans la communauté médicale. Parce qu'un tel diagnostic ne fait que définir un état douloureux et qu'à ce jour, les recherches entreprises n'ont révélé aucune explication pathogénique satisfaisante à cette situation clinique (absence d'anomalies tissulaires ou biochimiques évidentes), certains médecins en contestent l'existence même. Selon eux, la fibromyalgie n'est pas une maladie mais une étiquette pour décrire des maux inexplicables qui relèveraient davantage d'une problématique bio-psycho-sociale que d'une véritable pathologie médicale. D'autres, en BGE 132 V 65 S. 69 revanche, y attachent une valeur de maladie. Il est à noter que la fibromyalgie est très souvent mise en relation avec d'autres phénomènes douloureux dont le trouble somatoforme douloureux et le syndrome de fatigue chronique, en raison notamment d'une importante similitude dans leur symptomatologie respective.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(voir sur cette controverse médicale, par exemple: PIERRE-ALAIN BUCHARD, op. cit., p. 443 ss; JACQUES-ANTOINE PFISTER, Fibromyalgie, trouble somatoforme douloureux, syndrome de fatique chronique - quels repères médicaux, humains et assécurologiques?, in: Revue médicale de la Suisse romande, 2003, p. 650 ss; WOLFGANG HAUSOTTER, Begutachtung somatoformer und funktioneller Störungen, 2 e éd. Urban et Fischer, Munich 2004, p. 105 ss; HERBERT CSEF, Was sind CFS, MCS und FM? Stellenwert und Gemeinsamkeiten dreier "Modekrankheiten" in: Grenzwertige psychische Störungen, Diagnostik und Therapie in Schwellenbereichen, éd. Thieme 2004, p. 63 ss, plus spécialement p. 73; N.M. HADLER, Die Semiotik der Fibromyalgie und verwandter somatoformer Störungen, in: Praxis 94/2005, éd. Hans Huber, Berne, p. 1999 ss; KARL C. MAYER, Fibromyalgie - Stichworte zu einer Kontroverse, sous http://www.neuro24.de/fibromyalgie.htm).</w:t>
      </w:r>
    </w:p>
    <w:p>
      <w:r>
        <w:rPr>
          <w:b/>
        </w:rPr>
        <w:t>E. 3.4</w:t>
      </w:r>
    </w:p>
    <w:p>
      <w:r>
        <w:t>Il n'est pas nécessaire de prendre position sur cette controverse médicale. D'une part, il n'appartient pas à l'administration ou au juge de remettre en cause le diagnostic posé par un médecin, quel que soit le courant médical dont il se réclame; est seul décisif que le diagnostic s'appuie lege artis sur les critères d'un système de classification reconnu. D'autre part, ce qui importe pour juger du droit aux prestations d'un assuré, c'est la répercussion de l'atteinte à la santé diagnostiquée sur la capacité de travail ( art. 4 al. 1 LAI , art. 16 LPGA ). Seule la réponse à cette question intéresse finalement le juriste dans une procédure portant sur l'incapacité de travail ou l'invalidité; le débat médical relatif à la dénomination diagnostique la mieux appropriée pour décrire l'état de souffrance du patient se révèle dans ce contexte plutôt secondaire (cf. MEYER-Blaser, Der Rechtsbegriff der Arbeitsunfähigkeit und seine Bedeutung in der Sozialversicherung, in: Schmerz und Arbeitsunfähigkeit, St. Gall 2003, p. 64, note 93). On rappellera qu'un diagnostic BGE 132 V 65 S. 70 est une condition juridique nécessaire, mais non suffisante pour conclure à une atteinte à la santé invalidante (cf. ATF 131 V 50 consid. 1.2, ATF 130 V 353 consid. 2.2.3).</w:t>
      </w:r>
    </w:p>
    <w:p>
      <w:r>
        <w:rPr>
          <w:b/>
        </w:rPr>
        <w:t>E. 3.5</w:t>
      </w:r>
    </w:p>
    <w:p>
      <w:r>
        <w:t>Aussi bien, ne voit-on pas de motif de mettre en doute le diagnostic de fibromyalgie posé chez S. Il convient maintenant d'examiner si et dans quelle mesure cette atteinte à la santé a des conséquences sur sa capacité de travail.</w:t>
      </w:r>
    </w:p>
    <w:p>
      <w:r>
        <w:rPr>
          <w:b/>
        </w:rPr>
        <w:t>E. 4.1</w:t>
      </w:r>
    </w:p>
    <w:p>
      <w:r>
        <w:t>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(voir HAUSOTTER, op. cit., p. 119; KARL C. MAYER, op. cit.).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La question récemment laissée ouverte au consid. 4.2 de l'arrêt L. du 17 juin 2005, I 3/05, doit ainsi être résolue dans ce sens.</w:t>
      </w:r>
    </w:p>
    <w:p>
      <w:r>
        <w:rPr>
          <w:b/>
        </w:rPr>
        <w:t>E. 4.2.1</w:t>
      </w:r>
    </w:p>
    <w:p>
      <w:r>
        <w:t>Selon la jurisprudence, les troubles somatoformes douloureux n'entraînent pas, en règle générale, une limitation de longue BGE 132 V 65 S. 71 durée de la capacité de travail pouvant conduire à une invalidité ( ATF 130 V 354 consid. 2.2.3). Il existe une présomption que les troubles somatoformes douloureux ou leurs effets peuvent être surmontés par un effort de volonté raisonnablement exigible ( ATF 131 V 50 ). Pour les raisons qui viennent être exposées ci-dessus, il y a lieu de poser la même présomption en présence d'une fibromyalgie.</w:t>
      </w:r>
    </w:p>
    <w:p>
      <w:r>
        <w:rPr>
          <w:b/>
        </w:rPr>
        <w:t>E. 4.2.2</w:t>
      </w:r>
    </w:p>
    <w:p>
      <w:r>
        <w:t>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ATF 131 V 50 ).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BGE 132 V 65 S. 72 fournies par le patient et celles ressortant de l'anamnèse, le fait que des plaintes très démonstratives laissent insensible l'expert, ainsi que l'allégation de lourds handicaps malgré un environnement psychosocial intact).</w:t>
      </w:r>
    </w:p>
    <w:p>
      <w:r>
        <w:rPr>
          <w:b/>
        </w:rPr>
        <w:t>E. 4.3</w:t>
      </w:r>
    </w:p>
    <w:p>
      <w:r>
        <w:t>Une expertise psychiatrique est, en principe, nécessaire quand il s'agit de se prononcer sur l'incapacité de travail que les troubles somatoformes douloureux sont susceptibles d'entraîner ( ATF 130 V 353 consid. 2.2.2 et 399 consid. 5.3.2). Quand bien même le diagnostic de fibromyalgie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(consid. 4.2.2 supra) - que la mise en valeur de sa capacité de travail sur le marché du travail ne peut plus du tout ou seulement partiellement être exigible de sa part (voir aussi P.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w:t>
      </w:r>
    </w:p>
    <w:p>
      <w:r>
        <w:rPr>
          <w:b/>
        </w:rPr>
        <w:t>E. 5</w:t>
      </w:r>
    </w:p>
    <w:p>
      <w:r>
        <w:t>Au regard des principes qui viennent d'être développés, on doit constater que ni le rapport d'expertise du SMR, ni ceux des médecins traitants ne permettent de statuer à satisfaction de droit sur le caractère invalidant de la fibromyalgie présentée par l'intimée.</w:t>
      </w:r>
    </w:p>
    <w:p>
      <w:r>
        <w:rPr>
          <w:b/>
        </w:rPr>
        <w:t>E. 5.1</w:t>
      </w:r>
    </w:p>
    <w:p>
      <w:r>
        <w:t>Les médecins du SMR ont motivé l'existence d'une capacité de travail entière principalement par le fait qu'ils n'ont pas pu mettre en évidence de comorbidité psychiatrique chez l'assurée. Si ce critère est d'importance, il n'est toutefois pas exclusif (voir consid. 4.2.2 supra). Et bien que le rapport d'expertise contienne une anamnèse familiale et professionnelle assez détaillée de l'assurée, il n'est pas possible de se faire une opinion sur l'existence ou non de circonstances susceptibles exceptionnellement de fonder un pronostic défavorable. Les médecins du SMR se contentent en effet de procéder à un descriptif du parcours de vie de S. sans mettre les BGE 132 V 65 S. 73 informations recueillies en perspective avec leur mission d'expertise qui, dans les cas d'une symptomatique douloureuse, consiste surtout à porter une appréciation sur la vraisemblance de l'état douloureux et, le cas échéant, à déterminer si la personne expertisée dispose des ressources psychiques lui permettant de surmonter cet état. Or, on ne saurait sans plus accorder une pleine force probante à une prise de position médicale sur la capacité de travail (raisonnablement exigible) d'un assuré, lorsque l'expert ne met pas en rapport ses constatations, impressions et estimations qu'il a rassemblées au cours de l'évaluation de l'état de santé de celui-ci.</w:t>
      </w:r>
    </w:p>
    <w:p>
      <w:r>
        <w:rPr>
          <w:b/>
        </w:rPr>
        <w:t>E. 5.2</w:t>
      </w:r>
    </w:p>
    <w:p>
      <w:r>
        <w:t>Quant aux appréciations des médecins traitants de l'intimée, ils sont également insuffisants pour trancher le litige. Invitée par la juridiction cantonale à dire si les différents critères posés par la jurisprudence en matière de troubles somatoformes douloureux étaient présents chez l'assurée, la doctoresse P. a certes répondu par l'affirmative (questionnaire du 30 janvier 2004). Dans la mesure toutefois où ce questionnaire n'appelait qu'une réponse par oui ou par non et que les données fournies par cette praticienne ne contiennent donc aucun développement circonstancié sur ces différents points, on ne saurait tenir pour établi que les douleurs de l'assurée sont d'une intensité telle qu'elles entraînent une incapacité de travail totale. De son côté, dans le rapport (du 8 décembre 2003) qu'il a rédigé à l'intention des premiers juges, le docteur G. a fait état d'une tristesse de fond, d'un abattement constant et d'une perte d'intérêt et de plaisir pour la plupart des activités quotidiennes, tableau clinique qu'il estimait compatible avec le diagnostic d'une dépression majeure sévère. Il convient toutefois de prendre ces déclarations avec une certaine réserve dès lors que le psychiatre a souhaité s'abstenir de se prononcer sur la capacité de travail de S., indiquant n'avoir été consulté que ponctuellement et bien après l'apparition des premiers symptômes, à une époque où la prénommée devait faire face à une subite aggravation de l'état de santé de son mari.</w:t>
      </w:r>
    </w:p>
    <w:p>
      <w:r>
        <w:rPr>
          <w:b/>
        </w:rPr>
        <w:t>E. 5.3</w:t>
      </w:r>
    </w:p>
    <w:p>
      <w:r>
        <w:t>Enfin, il n'y a pas lieu de prendre en considération les pièces médicales produites par l'intimée postérieurement à la clôture de l'échange d'écritures. En effet, sauf dans le cadre d'un nouvel échange d'écritures ordonné par le tribunal, la production de nouvelles écritures et de nouveaux moyens de preuve n'est en principe pas admise; demeure réservée la situation où de telles pièces constituent des faits nouveaux importants ou des preuves concluantes au sens de l' art. 137 let. b OJ et pourraient dès lors justifier la révision de BGE 132 V 65 S. 74 l'arrêt du tribunal ( ATF 127 V 357 consid. 4a). Ce n'est pas le cas ici. En particulier, le certificat (du 1 er février 2005) de la doctoresse P. constitue simplement un avis médical supplémentaire sur la capacité de travail de l'assurée en raison d'atteintes à la santé déjà décrites dans le dossier, tandis que celui (du 8 novembre 2004) du docteur G. renferme uniquement une appréciation de la situation de l'assurée à la date d'établissement dudit certificat.</w:t>
      </w:r>
    </w:p>
    <w:p>
      <w:r>
        <w:rPr>
          <w:b/>
        </w:rPr>
        <w:t>E. 5.4</w:t>
      </w:r>
    </w:p>
    <w:p>
      <w:r>
        <w:t>Il s'impose donc de renvoyer la cause à l'office AI pour qu'il en complète l'instruction, notamment par une nouvelle expertise interdisciplinaire qui devra comporter un volet rhumatologique et psychiatrique. Il incombera aux experts appelés à se prononcer de fournir tous les éléments permettant de déterminer avec précision l'incidence des troubles de l'intimée sur sa capacité de travail à la lumière des considérants topiques du présent arrêt. Dans cette mesure,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